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03:38 МСК · База обновлена: 25.07.2026, 03:25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55 лет, обратилась к врачу кардиологу.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давящие боли за грудиной, одышку, возникающие без четкой связи с физическими нагрузками, проходящие самостоятельно или после приема нитратов (пользуется редко из-за сильной головной боли);</w:t>
      </w:r>
    </w:p>
    <w:p>
      <w:pPr>
        <w:spacing w:after="58"/>
      </w:pPr>
      <w:r>
        <w:rPr>
          <w:b w:val="0"/>
          <w:i w:val="0"/>
        </w:rPr>
        <w:t>* дестабилизацию цифр артериального давления (снижение до 80/60 мм рт.ст., подъемы до 160/90 мм рт.ст.);</w:t>
      </w:r>
    </w:p>
    <w:p>
      <w:pPr>
        <w:spacing w:after="58"/>
      </w:pPr>
      <w:r>
        <w:rPr>
          <w:b w:val="0"/>
          <w:i w:val="0"/>
        </w:rPr>
        <w:t>* синкопальные состояния;</w:t>
      </w:r>
    </w:p>
    <w:p>
      <w:pPr>
        <w:spacing w:after="58"/>
      </w:pPr>
      <w:r>
        <w:rPr>
          <w:b w:val="0"/>
          <w:i w:val="0"/>
        </w:rPr>
        <w:t>* перебои в работе сердца.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20 лет беспокоят обмороки (1-2 раза в год), возникающие, в основном, при стрессовых ситуациях.</w:t>
        <w:br/>
        <w:t>Ухудшение состояния в течение 5 месяцев, когда стала впервые отмечать приступы загрудинных болей, одышку, синкопальные состояния (в течение последних 2-х месяцев 3 эпизода с потерей сознания), дестабилизацию цифр АД (подъемы до 200/110 мм рт.ст., снижение до 80/60 мм рт.ст., ранее АД было в пределах 110-130/80 мм рт.ст.). Принимала симптоматическую терапию по требованию.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имела;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отец умер в 53 года, перенес ИМ, мать страдает ГБ.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165 см, масса тела 93 кг, ИМТ 34.2 кг/м2. Кожные покровы обычной окраски и влажности. Периферических отеков нет. Дыхание везикулярное, ЧДД 14 в 1 мин. Тоны сердца ритмичные, ЧСС 72 в 1 мин, АД 100/70 мм рт. ст., систолический шум вдоль левого края грудины.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ОГК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суточное мониторирование АД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эхокардиоргафия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суточное мониторирование электрокардиограммы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электрокардиограммы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УЗДС экстракраниального отдела БЦА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эхокардиоргафия; 4 — суточное мониторирование электрокардиограммы; 5 — регистрация электрокардиограммы в 12 отведениях</w:t>
      </w:r>
    </w:p>
    <w:p>
      <w:pPr>
        <w:ind w:left="504"/>
      </w:pPr>
      <w:r>
        <w:rPr>
          <w:b w:val="0"/>
          <w:i/>
        </w:rPr>
        <w:t>ЭХОКГ-исследование пациентам  необходимо выполнять в соответствии с отечественными и зарубежными рекомендациями по эхокардиографии AHA, ASE (American Society of Echocardiography) и EACI (European Association of Cardiovascular Imaging).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ХМ сердечного ритма рекомендуется всем пациентам с ГКМП, в том числе асимптомным, с целью выявления нарушений ритма сердца (ФП и ЖТ) и проводимости для стратификации риска ВСС и отбора кандидатов для имплантации ИКД***.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Регистрация электрокардиограммы рекомендуется всем пациентам при первичном обследовании с подозрением на ГКМП, после постановки диагноза в процессе подбора фармакотерапии, после хирургических и эндоваскулярных вмешательств и при  динамическом наблюдении каждые 12-24 месяцев.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этиологии данного заболевания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эндомиокардиальную биопсию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позитронно-эмиссионную сцинтиграфию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фонокардиографию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магнитно-резонансную томографию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нагрузочные тесты (тредмил тест)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коронарографию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магнитно-резонансную томографию сердца; 6 — коронарографию</w:t>
      </w:r>
    </w:p>
    <w:p>
      <w:pPr>
        <w:ind w:left="504"/>
      </w:pPr>
      <w:r>
        <w:rPr>
          <w:b w:val="0"/>
          <w:i/>
        </w:rPr>
        <w:t>МРТ сердца с контрастированием (при отсутствии противопоказаний) рекомендуется выполнить как минимум один раз после постановки диагноза ГКМП для уточнения данных ЭХОКГ (анатомии сердца, функции желудочков), а также выявления и оценки распространенности фиброза миокарда и исключения фенокопий ГКМП и других заболеваний.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ГКМП старше 40 лет рекомендуется выполнение КАГ или КТ-коронарографию до редукции МЖП, независимо от наличия типичного стенокардитического болевого синдрома с целью диагностики обструктивного поражения эпикардиальных коронарных артерий.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Повышенное содержание +_______________+  ассоциировано с острыми сердечно-сосудистыми событиями, сердечной недостаточностью и смертью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общего холестерина, ЛНП, ЛВП, ТГ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СОЭ, лейкоцитов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креатинина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Nt-proBNP, тропонина 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Nt-proBNP, тропонина Т</w:t>
      </w:r>
    </w:p>
    <w:p>
      <w:pPr>
        <w:ind w:left="504"/>
      </w:pPr>
      <w:r>
        <w:rPr>
          <w:b w:val="0"/>
          <w:i/>
        </w:rPr>
        <w:t>Высокий уровень N-концевого мозгового натрийуретического пропептида (NT-proBNP) и высокочувствительного сердечного тропонина T (hs-cTnT) ассоциированы  с сердечной недостаточностью и другими сердечно-сосудистыми событиями.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Гипертрофическая кардиомиопатия с обструкцией выносящего тракта ЛЖ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Стеноз устья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Эссенциальная 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Ишемическая болезнь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Гипертрофическая кардиомиопатия с обструкцией выносящего тракта ЛЖ</w:t>
      </w:r>
    </w:p>
    <w:p>
      <w:pPr>
        <w:ind w:left="504"/>
      </w:pPr>
      <w:r>
        <w:rPr>
          <w:b w:val="0"/>
          <w:i/>
        </w:rPr>
        <w:t>Гипертрофическая кардиомиопатия (ГКМП) – это преимущественно генетически обусловленное заболевание (семейные и  несемейные формы), характеризующееся гипертрофией миокарда левого (1,5 см и более у взрослых) и/или реже правого желудочка, чаще асимметричного характера за счет утолщения межжелудочковой перегородки, фиброзом и феноменом «disarray», которая не может объясняться исключительно повышением нагрузки давлением и возникающее при отсутствии других потенциально причинных системных, синдромных или метаболических заболеваний.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Обструктивная ГКМП: ГД в ВТЛЖ &gt; 30 (50) мм рт.ст. в покое и при нагрузке. В том числе латентная обструкция, при которой ГД в ВТЛЖ &lt; 30 в покое и &gt; 30 (50) мм рт.ст. при нагрузке (подробнее критерии обструкции ВТЛЖ см. в разделе «Диагностика»).</w:t>
        <w:br/>
        <w:br/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+______________+ метод лечения гипертрофической кардиомиопатии с обструкцией выносящего тракта левого желудочка является основным в лечении данной патологии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Физиотерапевтический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Бальнеологический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Медикаментозный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Хирургический</w:t>
      </w:r>
    </w:p>
    <w:p>
      <w:pPr>
        <w:ind w:left="504"/>
      </w:pPr>
      <w:r>
        <w:rPr>
          <w:b w:val="0"/>
          <w:i/>
        </w:rPr>
        <w:t>При обструктивной ГКМП хирургический метод лечения является «золотым стандартом».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Преимущественным видом хирургического лечения гипертрофической кардиомиопатии с обструкцией выносящего тракта левого желудочка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септальная миомэктомия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алкогольная септальная абляция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имплантация кардиовертер-дефибриллятора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двухкамерная электрокардиостимуляция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септальная миомэктомия</w:t>
      </w:r>
    </w:p>
    <w:p>
      <w:pPr>
        <w:ind w:left="504"/>
      </w:pPr>
      <w:r>
        <w:rPr>
          <w:b w:val="0"/>
          <w:i/>
        </w:rPr>
        <w:t>Редукция МЖП осуществляется с помощью  септальной миоэктомии (СМЭ) – хирургической миэктомии по Морроу (Morrow) в условиях искусственного кровообращения.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методом хирургического лечения гипертрофической кардиомиопатии с обструкцией выносящего тракта левого желудочка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двухкамерная электрокардиостимуляция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имплантация ИКД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септальная миомэктомия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алкогольная септальная абляция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алкогольная септальная абляция</w:t>
      </w:r>
    </w:p>
    <w:p>
      <w:pPr>
        <w:ind w:left="504"/>
      </w:pPr>
      <w:r>
        <w:rPr>
          <w:b w:val="0"/>
          <w:i/>
        </w:rPr>
        <w:t>Таким образом, ЭСА также может быть рассмотрена как альтернативная опция у пациентов с «тонкой» перегородкой.</w:t>
        <w:br/>
        <w:br/>
        <w:t>(ЭСА – этаноловая септальная аблация (06.ЕБГ.13.001.006 Спиртовая септальная абляция эндоваскулярным доступом).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Основной группой препаратов, рекомендованной к терапии при гипертрофической кардиомиопатии,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β-адреноблокаторы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сердечные гликозиды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диуретики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β-адреноблокаторы</w:t>
      </w:r>
    </w:p>
    <w:p>
      <w:pPr>
        <w:ind w:left="504"/>
      </w:pPr>
      <w:r>
        <w:rPr>
          <w:b w:val="0"/>
          <w:i/>
        </w:rPr>
        <w:t>Рекомендуется рассмотреть возможность назначения бета-адреноблокаторов или верапамила**, асимптомным взрослым с обструкцией ВТЛЖ (покоя или индуцируемой) для снижения ГД в ВТЛЖ.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Пациентам с ГКМП и обструкцией ВТЛЖ не рекомендуется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верапамила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карведилола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амиодарона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органических нитратов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органических нитратов</w:t>
      </w:r>
    </w:p>
    <w:p>
      <w:pPr>
        <w:ind w:left="504"/>
      </w:pPr>
      <w:r>
        <w:rPr>
          <w:b w:val="0"/>
          <w:i/>
        </w:rPr>
        <w:t>Пациентам с ГКМП и обструкцией ВТЛЖ (покоя или индуцируемой) не рекомендуется применение органических нитратов и ингибиторов фосфодиэстеразы.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невозможности назначения β-блокаторов, следует использовать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антагонисты кальция (верапамил)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диуретики (фуросемид)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антагонисты минералкортикоидных рецепторов (спиронолактон)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ингибиторы АПФ (эналаприл)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антагонисты кальция (верапамил)</w:t>
      </w:r>
    </w:p>
    <w:p>
      <w:pPr>
        <w:ind w:left="504"/>
      </w:pPr>
      <w:r>
        <w:rPr>
          <w:b w:val="0"/>
          <w:i/>
        </w:rPr>
        <w:t>Верапамил** с подбором максимальной переносимой дозы рекомендуется тем пациентам с обструкцией ВТЛЖ (покоя или индуцируемой), которые не переносят бета-адреноблокаторы или имеют противопоказания к их назначению.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 родственников первой линии родства старше 20 лет рекомендовано проводить обследование с ЭКГ и ЭхоКГ каждые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2-5 лет</w:t>
      </w:r>
    </w:p>
    <w:p>
      <w:pPr>
        <w:ind w:left="504"/>
      </w:pPr>
      <w:r>
        <w:rPr>
          <w:b w:val="0"/>
          <w:i/>
        </w:rPr>
        <w:t>Если генетический скрининг пробанду с ГКМП не проводился, клиническое обследование с ЭКГ и ЭХОКГ рекомендуется для родственников первой степени родства каждые 2-5 лет (или 6-12 месяцев, если имеются диагностически незначимые аномалии).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шкале +__________+ рассчитывают риск внезапной сердечной смерти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CRUSADE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HCMRiskSCD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Euro SCORE 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GRACE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HCMRiskSCD</w:t>
      </w:r>
    </w:p>
    <w:p>
      <w:pPr>
        <w:ind w:left="504"/>
      </w:pPr>
      <w:r>
        <w:rPr>
          <w:b w:val="0"/>
          <w:i/>
        </w:rPr>
        <w:t>Шкала HCM Risk-SCD рекомендуется в качестве метода оценки риска внезапной смерти в течение 5 лет для пациентов с ГКМП ≥ 16 лет без случаев реанимации после эпизодов ЖТ/ФЖ или спонтанной устойчивой ЖТ с потерей сознания или гемодинамическими нарушениями.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69 лет обратилась к участковому врачу-терапевту.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давящие загрудинные боли, которые появляются при спокойной ходьбе на расстояние 150-200 м и проходят через несколько минут после прекращения нагрузки.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Боли при ходьбе беспокоят на протяжение года. Отмечает постепенное снижение толерантности к физической нагрузке.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Хронические заболевания отрицает;</w:t>
        <w:br/>
        <w:t>*</w:t>
        <w:tab/>
        <w:t>в настоящее время не курит, алкоголем не злоупотребляет;</w:t>
        <w:br/>
        <w:t>*</w:t>
        <w:tab/>
        <w:t>профессиональных вредностей не имела;</w:t>
        <w:br/>
        <w:t>*</w:t>
        <w:tab/>
        <w:t>аллергических реакций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165 см, масса тела 65 кг. Кожные покровы обычной окраски и влажности. Периферических отеков нет. Дыхание везикулярное, хрипов нет. ЧДД 14 в 1 мин. Тоны сердца ясные, ритмичные. ЧСС 72 в 1 мин, АД 165/95 мм рт. ст.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нагрузочная проба под визуальным контролем (стресс-ЭхоКГ)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трансторакальное эхокардиографическое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чреспищеводное эхокардиографическое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амбулаторное (суточное) мониторирование АД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амбулаторное (суточное) мониторирование 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нагрузочная проба под визуальным контролем (стресс-ЭхоКГ); 2 — трансторакальное эхокардиографическое исследование; 6 — регистрация ЭКГ в 12 отведениях</w:t>
      </w:r>
    </w:p>
    <w:p>
      <w:pPr>
        <w:ind w:left="504"/>
      </w:pPr>
      <w:r>
        <w:rPr>
          <w:b w:val="0"/>
          <w:i/>
        </w:rPr>
        <w:t>В качестве первого специфического метода для диагностики ИБС рекомендуется один из неинвазивных визуализирующих стресс-методов (эхокардиография (ЭхоКГ) с физической нагрузкой, или с чреспищеводной стимуляцией (ЧПЭС), или с фармакологической нагрузкой – стресс-эхокардиография (Стресс-ЭхоКГ);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эхокардиография (ЭхоКГ) в состоянии покоя с использованием допплеровских режимов рекомендована всем пациентам с подозрением на ИБС для: 1) исключения других причин боли в грудной клетке; 2) выявления нарушений локальной сократимости (НЛС) левого желудочка; 3) измерения фракции выброса (ФВ) ЛЖ; 4) оценки диастолической функции ЛЖ; 5) выявления патологии клапанного аппарата сердца.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Регистрация 12-канальной электрокардиограммы (ЭКГ) в покое и расшифровка, описание и интерпретация электрокардиографических данных рекомендована всем пациентам с подозрением на ИБС для выявления признаков ишемии в покое (в том числе, безболевой ишемии миокарда), а также возможного наличия зубца Q, сопутствующих нарушений ритма и проводимости сердца.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тиреоидных гормонов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липидного спектра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уровня 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высокочувствительного тропонина I в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исследование липидного спектра крови; 3 — клинический анализ крови; 4 — исследование уровня креатинина в крови</w:t>
      </w:r>
    </w:p>
    <w:p>
      <w:pPr>
        <w:ind w:left="504"/>
      </w:pPr>
      <w:r>
        <w:rPr>
          <w:b w:val="0"/>
          <w:i/>
        </w:rPr>
        <w:t>Всем пациентам с ИБС или подозрением на нее рекомендуется провести анализ крови для оценки нарушений липидного обмена, биохимический (анализ крови биохимический общетерапевтический), включая исследование уровня общего исследование уровня холестерина в крови, исследование уровня холестерина липопротеидов низкой плотности (ХсЛНП), исследование уровня триглицеридов (ТГ), холестерина липопротеинов высокой плотности в крови (ХcЛПВП) с целью выявления фактора риска и, при необходимости, коррекции терапии.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при первичном обращении рекомендуется проводить общий (клинический) анализ крови развернутый с исследованием уровня гемоглобина, эритроцитов и лейкоцитов в крови для исключения возможных сопутствующих заболеваний, а также вторичного характера возникновения стенокардии.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для определения возможности назначения некоторых лекарственных средств, а также коррекции их доз рекомендуется провести исследование уровня креатинина в крови и оценить состояние функции почек по расчетной скорости клубочковой фильтрации (СКФ) или клиренсу креатинина (КК) (таблица ПБ1-3, Приложение Б1).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Жалобы пациента соответствуют клинической картине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типичной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атипичной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перикардитической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типичной стенокардии</w:t>
      </w:r>
    </w:p>
    <w:p>
      <w:pPr>
        <w:ind w:left="504"/>
      </w:pPr>
      <w:r>
        <w:rPr>
          <w:b w:val="0"/>
          <w:i/>
        </w:rPr>
        <w:t>Признаки типичной (несомненной) стенокардии напряжения:</w:t>
        <w:br/>
        <w:br/>
        <w:t>1) боль (или дискомфорт) в области грудины, возможно, с иррадиацией в левую руку, спину или нижнюю челюсть, реже - в эпигастральную область, длительностью от 2 до 5 (менее 20) мин. Эквивалентами боли бывают: одышка, ощущение «тяжести», «жжения»;</w:t>
        <w:br/>
        <w:br/>
        <w:t>2) вышеописанная боль возникает во время физической нагрузки или выраженного психоэмоционального стресса;</w:t>
        <w:br/>
        <w:br/>
        <w:t>3) вышеописанная боль быстро исчезает после прекращения физической нагрузки или через 1–3 минуты после приема нитроглицерина.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Жалобы пациента позволяют диагностировать стенокардию напряжения +______+ функционального класса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III</w:t>
      </w:r>
    </w:p>
    <w:p>
      <w:pPr>
        <w:ind w:left="504"/>
      </w:pPr>
      <w:r>
        <w:rPr>
          <w:b w:val="0"/>
          <w:i/>
        </w:rPr>
        <w:t>Приступы стенокардии резко ограничивают физическую активность: возникают при незначительной физической нагрузке: ходьбе в среднем темпе до 500 м, при подъеме по лестнице на 1—2 пролета. Изредка приступы возникают в покое.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План дальнейшего обследования и лечения больного строится исходя из полученных первичных данных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суммы баллов по шкале GRACE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суммы баллов по шкале SCORE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суммы баллов по шкале TIMI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предтестовой вероятности (ПТВ) диагноза ИБС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предтестовой вероятности (ПТВ) диагноза ИБС</w:t>
      </w:r>
    </w:p>
    <w:p>
      <w:pPr>
        <w:ind w:left="504"/>
      </w:pPr>
      <w:r>
        <w:rPr>
          <w:b w:val="0"/>
          <w:i/>
        </w:rPr>
        <w:t>В зависимости от предтестовой вероятности определяется последующий объем исследований</w:t>
        <w:br/>
        <w:br/>
        <w:t>Рис. 13. Выбор визуализирующего метода исследования</w:t>
        <w:br/>
        <w:br/>
        <w:t>{nbsp}</w:t>
        <w:br/>
        <w:br/>
        <w:t>{nbsp}</w:t>
        <w:br/>
        <w:br/>
        <w:t>Сердечно-сосудистые заболевания / под ред. В. Н. Лариной. - Москва : ГЭОТАР-Медиа, 2022. - 192 с . : ил. - (Серия "На амбулаторном приеме"). - DOI: 10.33029/9704-6937-8-CVD-2022-1-192. - ISBN 978-5-9704-6937-8.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Результаты +______________________+ позволяют констатировать у данного пациента высокий риск смерти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трансторакальной эхокардиографии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стресс-эхокардиографии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холтеровского мониторирования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оценки предтестовой вероятности ИБС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стресс-эхокардиографии</w:t>
      </w:r>
    </w:p>
    <w:p>
      <w:pPr>
        <w:ind w:left="504"/>
      </w:pPr>
      <w:r>
        <w:rPr>
          <w:b w:val="0"/>
          <w:i/>
        </w:rPr>
        <w:t>Больных с высоким риском осложнений (предполагаемая ежегодная смертность &gt;3%) следует направлять на КАГ без дальнейших неинвазивных исследований. Эти пациенты имеют следующие признаки по данным инструментальных неинвазивных обследований: низкий тредмил-индекс [&lt;(-11)], тяжелая дисфункция ЛЖ в покое (ОФВ &lt;35%) или при нагрузке, крупный дефект перфузии при нагрузке (особенно в передней стенке ЛЖ), либо множественные умеренные дефекты перфузии миокарда при нагрузке, либо крупный необратимый дефект перфузии миокарда в сочетании с постстрессовой дилатацией ЛЖ или увеличением поглощения индикатора легочной тканью, при стресс-эхокардиографии (стресс-ЭхоКГ) - нарушение локальной сократимости более чем в двух сегментах на фоне введения низких доз фармакологического препарата или при низкой ЧСС (&lt;120 уд./мин) либо распространенный гипокинез по данным стресс-ЭхоКГ с использованием иных методов нагрузки.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Сопутствующим заболеванием служит гипертоническая болезнь +_____+  стадии с артериальной гипертензией +_____+ 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III; 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III; 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II; 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III;  2</w:t>
      </w:r>
    </w:p>
    <w:p>
      <w:pPr>
        <w:ind w:left="504"/>
      </w:pPr>
      <w:r>
        <w:rPr>
          <w:b w:val="0"/>
          <w:i/>
        </w:rPr>
        <w:t>Гипертоническая болезнь (далее - ГБ) - хронически протекающее заболевание, основным проявлением которого является повышение АД, не связанное с выявлением явных причин, приводящих к развитию вторичных форм АГ (симптоматические АГ).</w:t>
        <w:br/>
        <w:br/>
      </w:r>
      <w:hyperlink r:id="rId53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Классификация уровней АД у лиц старше 18 лет представлена в таблице П2, Приложение А3.</w:t>
        <w:br/>
        <w:br/>
      </w:r>
      <w:hyperlink r:id="rId55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Стадия III определяется наличием АКС, в том числе ХБП, и/или СД с поражением органов-мишеней.</w:t>
        <w:br/>
        <w:br/>
      </w:r>
      <w:hyperlink r:id="rId56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На основании уровня АД, наличия ФР, ПОМ, АКС, СД выделяют 5 категорий риска СС осложнений: низкий (риск 1), умеренный (риск 2), высокий (риск 3), очень высокий (риск 4) и экстремальный (риск 5) (Приложение Г2). Наиболее значимым является определение категории риска у пациентов с гипертонической болезнью I и II стадий.</w:t>
        <w:br/>
        <w:br/>
      </w:r>
      <w:hyperlink r:id="rId57">
        <w:r>
          <w:rPr>
            <w:color w:val="173C49"/>
            <w:u w:val="single"/>
          </w:rPr>
          <w:t>(4)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качестве стартовой антиангинальной терапии можно назначить комбинацию бисопролола 5 мг 1 раз в день и +____________________+  мг +______+ раз(а)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ивабрадина 5;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амлодипина 5;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нитросорбида 10;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верапамила 40; 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амлодипина 5; 1</w:t>
      </w:r>
    </w:p>
    <w:p>
      <w:pPr>
        <w:ind w:left="504"/>
      </w:pPr>
      <w:r>
        <w:rPr>
          <w:b w:val="0"/>
          <w:i/>
        </w:rPr>
        <w:t>При стабильной стенокардии III—IV ФК при отсутствии противопоказаний рекомендуется сразу назначить комбинацию БАБ с дигидропиридиновыми блокаторами «медленных» кальциевых каналов (ДГП-БКК) для достижения ФК I.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Прием бета-адреноблокатора должен обеспечить снижение ЧСС в покое до +________+ в 1 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50–60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40–50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60–70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70–80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50–60</w:t>
      </w:r>
    </w:p>
    <w:p>
      <w:pPr>
        <w:ind w:left="504"/>
      </w:pPr>
      <w:r>
        <w:rPr>
          <w:b w:val="0"/>
          <w:i/>
        </w:rPr>
        <w:t>При применении БАБ наибольшее снижение потребности миокарда в кислороде и прирост коронарного кровотока достигается при ЧСС 55—60 уд/мин.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сохранении приступов стенокардии на фоне целевой ЧСС к терапии можно добавить +_______________+  мг +_____+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дилтиазем 120;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нитросорбид 10;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верапамил 40;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дилтиазем 60; 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нитросорбид 10; 2</w:t>
      </w:r>
    </w:p>
    <w:p>
      <w:pPr>
        <w:ind w:left="504"/>
      </w:pPr>
      <w:r>
        <w:rPr>
          <w:b w:val="0"/>
          <w:i/>
        </w:rPr>
        <w:t>НДД должны быть рассмотрены как препараты второй линии терапии, когда начальная терапия БАБ или не-ДГП-БКК противопоказана, плохо переносится или недостаточна для контроля симптомов стенокардии [237, 238]. При назначении НДД для снижения толерантности к ним должно быть рассмотрен ежедневный интервал без нитратов 10-14 часов.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профилактики сердечно-сосудистых осложнений пациентке должны быть назначены статины в дозе, обеспечивающей уровень ХС ЛПНП не выше _____ ммоль/л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1,4</w:t>
      </w:r>
    </w:p>
    <w:p>
      <w:pPr>
        <w:ind w:left="504"/>
      </w:pPr>
      <w:r>
        <w:rPr>
          <w:b w:val="0"/>
          <w:i/>
        </w:rPr>
        <w:t>У пациентов очень высокого риска рекомендовано достижение целевого уровня ХС ЛНП &lt; 1,4 ммоль/л и снижение по меньшей мере на 50% от исходного через 8 ± 4 недель терапии как для первичной, так и вторичной профилактики ССО.</w:t>
        <w:br/>
        <w:br/>
      </w:r>
      <w:hyperlink r:id="rId61">
        <w:r>
          <w:rPr>
            <w:color w:val="173C49"/>
            <w:u w:val="single"/>
          </w:rPr>
          <w:t>Клинические рекомендации Минздрава России. Нарушения липидного обмена, 2023 г.</w:t>
        </w:r>
      </w:hyperlink>
      <w:r>
        <w:rPr>
          <w:b w:val="0"/>
          <w:i/>
        </w:rPr>
        <w:t xml:space="preserve"> </w:t>
      </w:r>
      <w:hyperlink r:id="rId6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профилактики сердечно-сосудистых осложнений пациенту следует назначить +________________+ мг 1 раз в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ацетилсалициловую кислоту 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клопидогрел 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ацетилсалициловую кислоту 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клопидогрел 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ацетилсалициловую кислоту 100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в качестве ингибитора агрегации тромбоцитов рекомендуется назначение ацетилсалициловой кислоты (АСК)** в дозе 75–100 мг в сутки.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3027862"/>
            <wp:docPr id="35" name="Picture 3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a42017226e7dfa06930a6cfdbdd552472e8cbc2.jpg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27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рис.13.jpg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283_2/" TargetMode="External"/><Relationship Id="rId23" Type="http://schemas.openxmlformats.org/officeDocument/2006/relationships/hyperlink" Target="https://library.mededtech.ru/rest/documents/KP283_2/#paragraph_d9lnj2" TargetMode="External"/><Relationship Id="rId24" Type="http://schemas.openxmlformats.org/officeDocument/2006/relationships/hyperlink" Target="https://library.mededtech.ru/rest/documents/KP283_2/#list_item_h7pmif" TargetMode="External"/><Relationship Id="rId25" Type="http://schemas.openxmlformats.org/officeDocument/2006/relationships/hyperlink" Target="https://library.mededtech.ru/rest/documents/KP283_2/#list_item_odot6g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283_2/#list_item_0k76p6" TargetMode="External"/><Relationship Id="rId28" Type="http://schemas.openxmlformats.org/officeDocument/2006/relationships/hyperlink" Target="https://library.mededtech.ru/rest/documents/KP283_2/#list_item_q0oeqj" TargetMode="External"/><Relationship Id="rId29" Type="http://schemas.openxmlformats.org/officeDocument/2006/relationships/hyperlink" Target="https://library.mededtech.ru/rest/documents/KP283_2/#paragraph_vktk4a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283_2/#paragraph_to4bbe" TargetMode="External"/><Relationship Id="rId32" Type="http://schemas.openxmlformats.org/officeDocument/2006/relationships/hyperlink" Target="https://library.mededtech.ru/rest/documents/KP283_2/index.html#list_item_a57fbl" TargetMode="External"/><Relationship Id="rId33" Type="http://schemas.openxmlformats.org/officeDocument/2006/relationships/hyperlink" Target="https://library.mededtech.ru/rest/documents/KP283_2/#paragraph_p8v1uh" TargetMode="External"/><Relationship Id="rId34" Type="http://schemas.openxmlformats.org/officeDocument/2006/relationships/hyperlink" Target="https://library.mededtech.ru/rest/documents/KP283_2/#paragraph_6brdlr" TargetMode="External"/><Relationship Id="rId35" Type="http://schemas.openxmlformats.org/officeDocument/2006/relationships/hyperlink" Target="https://library.mededtech.ru/rest/documents/KP283_2/index.html#paragraph_b4rhcj" TargetMode="External"/><Relationship Id="rId36" Type="http://schemas.openxmlformats.org/officeDocument/2006/relationships/hyperlink" Target="https://library.mededtech.ru/rest/documents/KP283_2/index.html#list_item_hsbqqr" TargetMode="External"/><Relationship Id="rId37" Type="http://schemas.openxmlformats.org/officeDocument/2006/relationships/hyperlink" Target="https://library.mededtech.ru/rest/documents/KP283_2/index.html#list_item_3gef2g" TargetMode="External"/><Relationship Id="rId38" Type="http://schemas.openxmlformats.org/officeDocument/2006/relationships/hyperlink" Target="https://library.mededtech.ru/rest/documents/KP283_2/index.html#list_item_nhh7l8" TargetMode="External"/><Relationship Id="rId39" Type="http://schemas.openxmlformats.org/officeDocument/2006/relationships/hyperlink" Target="https://library.mededtech.ru/rest/documents/KP283_2/index.html#list_item_oo4352" TargetMode="External"/><Relationship Id="rId40" Type="http://schemas.openxmlformats.org/officeDocument/2006/relationships/image" Target="media/image9.png"/><Relationship Id="rId41" Type="http://schemas.openxmlformats.org/officeDocument/2006/relationships/hyperlink" Target="https://library.mededtech.ru/rest/documents/KP283_2/index.html#list_item_al713v" TargetMode="External"/><Relationship Id="rId42" Type="http://schemas.openxmlformats.org/officeDocument/2006/relationships/hyperlink" Target="https://library.mededtech.ru/rest/documents/KP155_24/" TargetMode="External"/><Relationship Id="rId43" Type="http://schemas.openxmlformats.org/officeDocument/2006/relationships/hyperlink" Target="https://library.mededtech.ru/rest/documents/KP155_24/#list_item_n1i1eo" TargetMode="External"/><Relationship Id="rId44" Type="http://schemas.openxmlformats.org/officeDocument/2006/relationships/hyperlink" Target="https://library.mededtech.ru/rest/documents/KP155_24/#list_item_2p39pm" TargetMode="External"/><Relationship Id="rId45" Type="http://schemas.openxmlformats.org/officeDocument/2006/relationships/hyperlink" Target="https://library.mededtech.ru/rest/documents/KP155_24/#list_item_udpfta" TargetMode="External"/><Relationship Id="rId46" Type="http://schemas.openxmlformats.org/officeDocument/2006/relationships/hyperlink" Target="https://library.mededtech.ru/rest/documents/KP155_24/#list_item_ike75r" TargetMode="External"/><Relationship Id="rId47" Type="http://schemas.openxmlformats.org/officeDocument/2006/relationships/hyperlink" Target="https://library.mededtech.ru/rest/documents/KP155_24/#list_item_f77pd5" TargetMode="External"/><Relationship Id="rId48" Type="http://schemas.openxmlformats.org/officeDocument/2006/relationships/hyperlink" Target="https://library.mededtech.ru/rest/documents/KP155_24/#list_item_du74n4" TargetMode="External"/><Relationship Id="rId49" Type="http://schemas.openxmlformats.org/officeDocument/2006/relationships/hyperlink" Target="https://library.mededtech.ru/rest/documents/KP155_24/index.html#paragraph_sato36" TargetMode="External"/><Relationship Id="rId50" Type="http://schemas.openxmlformats.org/officeDocument/2006/relationships/hyperlink" Target="https://library.mededtech.ru/rest/documents/KP155_24/index.html#list_item_ulvcft" TargetMode="External"/><Relationship Id="rId51" Type="http://schemas.openxmlformats.org/officeDocument/2006/relationships/hyperlink" Target="https://library.mededtech.ru/rest/documents/ISBN9785970469378/?anchor=paragraph_j1dd7s#paragraph_j1dd7s" TargetMode="External"/><Relationship Id="rId52" Type="http://schemas.openxmlformats.org/officeDocument/2006/relationships/hyperlink" Target="https://library.mededtech.ru/rest/documents/ISBN9785970455203/?anchor=paragraph_8v0v96#paragraph_8v0v96" TargetMode="External"/><Relationship Id="rId53" Type="http://schemas.openxmlformats.org/officeDocument/2006/relationships/hyperlink" Target="https://library.mededtech.ru/rest/documents/KP62_24/" TargetMode="External"/><Relationship Id="rId54" Type="http://schemas.openxmlformats.org/officeDocument/2006/relationships/hyperlink" Target="https://library.mededtech.ru/rest/documents/KP62_24/#paragraph_invrd1" TargetMode="External"/><Relationship Id="rId55" Type="http://schemas.openxmlformats.org/officeDocument/2006/relationships/hyperlink" Target="https://library.mededtech.ru/rest/documents/KP62_24/#paragraph_mmqc80" TargetMode="External"/><Relationship Id="rId56" Type="http://schemas.openxmlformats.org/officeDocument/2006/relationships/hyperlink" Target="https://library.mededtech.ru/rest/documents/KP62_24/#paragraph_02knai" TargetMode="External"/><Relationship Id="rId57" Type="http://schemas.openxmlformats.org/officeDocument/2006/relationships/hyperlink" Target="https://library.mededtech.ru/rest/documents/KP62_24/#paragraph_kkhn53" TargetMode="External"/><Relationship Id="rId58" Type="http://schemas.openxmlformats.org/officeDocument/2006/relationships/hyperlink" Target="https://library.mededtech.ru/rest/documents/KP155_24/#list_item_ar5scq" TargetMode="External"/><Relationship Id="rId59" Type="http://schemas.openxmlformats.org/officeDocument/2006/relationships/hyperlink" Target="https://library.mededtech.ru/rest/documents/KP155_24/index.html#paragraph_vmsbtn" TargetMode="External"/><Relationship Id="rId60" Type="http://schemas.openxmlformats.org/officeDocument/2006/relationships/hyperlink" Target="https://library.mededtech.ru/rest/documents/KP155_24/#list_item_8q8usk" TargetMode="External"/><Relationship Id="rId61" Type="http://schemas.openxmlformats.org/officeDocument/2006/relationships/hyperlink" Target="https://library.mededtech.ru/rest/documents/KP752/" TargetMode="External"/><Relationship Id="rId62" Type="http://schemas.openxmlformats.org/officeDocument/2006/relationships/hyperlink" Target="https://library.mededtech.ru/rest/documents/KP752/#list_item_m1jqh5" TargetMode="External"/><Relationship Id="rId63" Type="http://schemas.openxmlformats.org/officeDocument/2006/relationships/hyperlink" Target="https://library.mededtech.ru/rest/documents/KP155_24/#list_item_ik3827" TargetMode="External"/><Relationship Id="rId6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